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7C430" w14:textId="70B2131D" w:rsidR="00F55E6B" w:rsidRPr="001E2F80" w:rsidRDefault="00F55E6B" w:rsidP="00F55E6B">
      <w:pPr>
        <w:pStyle w:val="CRCoverPage"/>
        <w:tabs>
          <w:tab w:val="right" w:pos="9639"/>
        </w:tabs>
        <w:spacing w:after="0"/>
        <w:rPr>
          <w:b/>
          <w:i/>
          <w:noProof/>
          <w:sz w:val="28"/>
        </w:rPr>
      </w:pPr>
      <w:r w:rsidRPr="001E2F80">
        <w:rPr>
          <w:b/>
          <w:noProof/>
          <w:sz w:val="24"/>
        </w:rPr>
        <w:t>3GPP TSG-SA5 Meeting #156</w:t>
      </w:r>
      <w:r w:rsidRPr="001E2F80">
        <w:rPr>
          <w:b/>
          <w:i/>
          <w:noProof/>
          <w:sz w:val="24"/>
        </w:rPr>
        <w:t xml:space="preserve"> </w:t>
      </w:r>
      <w:r w:rsidRPr="001E2F80">
        <w:rPr>
          <w:b/>
          <w:i/>
          <w:noProof/>
          <w:sz w:val="28"/>
        </w:rPr>
        <w:tab/>
      </w:r>
      <w:bookmarkStart w:id="0" w:name="_GoBack"/>
      <w:r w:rsidRPr="001E2F80">
        <w:rPr>
          <w:b/>
          <w:i/>
          <w:noProof/>
          <w:sz w:val="28"/>
        </w:rPr>
        <w:t>S5-24</w:t>
      </w:r>
      <w:r w:rsidR="00DA0CC5">
        <w:rPr>
          <w:b/>
          <w:i/>
          <w:noProof/>
          <w:sz w:val="28"/>
        </w:rPr>
        <w:t>4092</w:t>
      </w:r>
      <w:bookmarkEnd w:id="0"/>
    </w:p>
    <w:p w14:paraId="6A6E2952" w14:textId="79921058" w:rsidR="00F55E6B" w:rsidRPr="00DA53A0" w:rsidRDefault="0047484E" w:rsidP="00F55E6B">
      <w:pPr>
        <w:pStyle w:val="Header"/>
        <w:rPr>
          <w:sz w:val="22"/>
          <w:szCs w:val="22"/>
        </w:rPr>
      </w:pPr>
      <w:r>
        <w:rPr>
          <w:sz w:val="24"/>
        </w:rPr>
        <w:t>Maastricht, Netherlands, 19 - 23 August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33E575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03FE1">
        <w:rPr>
          <w:rFonts w:ascii="Arial" w:hAnsi="Arial" w:cs="Arial"/>
          <w:b/>
        </w:rPr>
        <w:t>Correction of energy saving terminology</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8575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6.19.2</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77777777" w:rsidR="00782D10" w:rsidRPr="00AA4D35"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Pr>
          <w:lang w:eastAsia="zh-CN"/>
        </w:rPr>
        <w:t>866</w:t>
      </w:r>
      <w:r w:rsidRPr="00AA4D35">
        <w:rPr>
          <w:lang w:eastAsia="zh-CN"/>
        </w:rPr>
        <w:t>: “</w:t>
      </w:r>
      <w:r w:rsidRPr="00CB36E8">
        <w:rPr>
          <w:lang w:eastAsia="zh-CN"/>
        </w:rPr>
        <w:t>Study on Management Data Analytics (MDA) – Phase 3</w:t>
      </w:r>
      <w:r w:rsidRPr="00AA4D35">
        <w:rPr>
          <w:lang w:eastAsia="zh-CN"/>
        </w:rPr>
        <w:t>”.</w:t>
      </w:r>
    </w:p>
    <w:bookmarkEnd w:id="1"/>
    <w:p w14:paraId="1DE85D9E" w14:textId="77777777" w:rsidR="00C022E3" w:rsidRPr="0057455E" w:rsidRDefault="00C022E3">
      <w:pPr>
        <w:pStyle w:val="Heading1"/>
      </w:pPr>
      <w:r w:rsidRPr="0057455E">
        <w:t>3</w:t>
      </w:r>
      <w:r w:rsidRPr="0057455E">
        <w:tab/>
        <w:t>Rationale</w:t>
      </w:r>
    </w:p>
    <w:p w14:paraId="3C9B025D" w14:textId="4D08C2DB" w:rsidR="00846D35" w:rsidRPr="0057455E" w:rsidRDefault="00782D10" w:rsidP="0057455E">
      <w:r w:rsidRPr="0057455E">
        <w:t xml:space="preserve">This contribution proposes </w:t>
      </w:r>
      <w:r w:rsidR="0057455E" w:rsidRPr="0057455E">
        <w:t xml:space="preserve">to </w:t>
      </w:r>
      <w:r w:rsidR="00EF1B15">
        <w:t>correct inconsistent use of the terms “energy saving state” and “energy efficiency state”</w:t>
      </w:r>
      <w:r w:rsidR="00311406">
        <w:t>.</w:t>
      </w:r>
    </w:p>
    <w:p w14:paraId="459D8228" w14:textId="77777777" w:rsidR="00C022E3" w:rsidRDefault="00C022E3">
      <w:pPr>
        <w:pStyle w:val="Heading1"/>
      </w:pPr>
      <w:r w:rsidRPr="0057455E">
        <w:t>4</w:t>
      </w:r>
      <w:r w:rsidRPr="0057455E">
        <w:tab/>
        <w:t>Detailed proposal</w:t>
      </w:r>
    </w:p>
    <w:p w14:paraId="7309C785" w14:textId="77777777"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 xml:space="preserve">866 </w:t>
      </w:r>
      <w:r w:rsidRPr="0078526F">
        <w:rPr>
          <w:lang w:eastAsia="zh-CN"/>
        </w:rPr>
        <w:t>[1].</w:t>
      </w:r>
    </w:p>
    <w:bookmarkEnd w:id="2"/>
    <w:bookmarkEnd w:id="3"/>
    <w:bookmarkEnd w:id="4"/>
    <w:bookmarkEnd w:id="5"/>
    <w:bookmarkEnd w:id="6"/>
    <w:p w14:paraId="74155623" w14:textId="77777777" w:rsidR="005378BE" w:rsidRDefault="005378BE" w:rsidP="005378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78BE" w:rsidRPr="007D21AA" w14:paraId="3263363A" w14:textId="77777777" w:rsidTr="004246C8">
        <w:tc>
          <w:tcPr>
            <w:tcW w:w="9521" w:type="dxa"/>
            <w:shd w:val="clear" w:color="auto" w:fill="FFFFCC"/>
            <w:vAlign w:val="center"/>
          </w:tcPr>
          <w:p w14:paraId="719669BC" w14:textId="77777777" w:rsidR="005378BE" w:rsidRPr="007D21AA" w:rsidRDefault="005378BE" w:rsidP="004246C8">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3241C53" w14:textId="77777777" w:rsidR="005378BE" w:rsidRDefault="005378BE" w:rsidP="005378BE"/>
    <w:p w14:paraId="63D615DA" w14:textId="77777777" w:rsidR="00EF1B15" w:rsidRPr="004517ED" w:rsidRDefault="00EF1B15" w:rsidP="00EF1B15">
      <w:pPr>
        <w:pStyle w:val="Heading4"/>
      </w:pPr>
      <w:r w:rsidRPr="004517ED">
        <w:t>5.1.</w:t>
      </w:r>
      <w:r>
        <w:t>2.</w:t>
      </w:r>
      <w:r w:rsidRPr="004517ED">
        <w:t>1</w:t>
      </w:r>
      <w:r w:rsidRPr="004517ED">
        <w:tab/>
        <w:t>Description</w:t>
      </w:r>
    </w:p>
    <w:p w14:paraId="271135D9" w14:textId="44553B7D" w:rsidR="00EF1B15" w:rsidRDefault="00EF1B15" w:rsidP="00EF1B15">
      <w:pPr>
        <w:jc w:val="both"/>
      </w:pPr>
      <w:r>
        <w:t xml:space="preserve">Energy efficiency can be achieved by moving certain cells to energy saving state (see TS 28.104 [2]). When moved to energy </w:t>
      </w:r>
      <w:del w:id="7" w:author="Huawei" w:date="2024-08-01T11:02:00Z">
        <w:r w:rsidDel="00EF1B15">
          <w:delText xml:space="preserve">efficiency </w:delText>
        </w:r>
      </w:del>
      <w:ins w:id="8" w:author="Huawei" w:date="2024-08-01T11:02:00Z">
        <w:r>
          <w:t xml:space="preserve">saving </w:t>
        </w:r>
      </w:ins>
      <w:r>
        <w:t xml:space="preserve">state, such cells or beams will have different impacts to the neighbour cells or beams depending on how much the coverage of those cells overlap </w:t>
      </w:r>
    </w:p>
    <w:p w14:paraId="5A4B7DA7" w14:textId="77777777" w:rsidR="00EF1B15" w:rsidRDefault="00EF1B15" w:rsidP="00EF1B15">
      <w:pPr>
        <w:jc w:val="both"/>
      </w:pPr>
      <w:r>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1D2055DF" w14:textId="77777777" w:rsidR="00EF1B15" w:rsidRDefault="00EF1B15" w:rsidP="00EF1B15">
      <w:pPr>
        <w:jc w:val="both"/>
      </w:pPr>
      <w:r>
        <w:t>Editor’s note 1: The realization of the grouping discussed in this use case depends on the agreement in Energy Saving study.</w:t>
      </w:r>
    </w:p>
    <w:p w14:paraId="7C8B1C8E" w14:textId="22F2CA8E" w:rsidR="00EF1B15" w:rsidRDefault="00EF1B15" w:rsidP="00EF1B15">
      <w:pPr>
        <w:jc w:val="both"/>
      </w:pPr>
      <w:r>
        <w:t xml:space="preserve">Then, for the cells in the group, it is desirable to use MDA analytics to get the sequence in which the beams can be made to enter or exit the energy </w:t>
      </w:r>
      <w:del w:id="9" w:author="Huawei" w:date="2024-08-01T11:02:00Z">
        <w:r w:rsidDel="00EF1B15">
          <w:delText xml:space="preserve">efficiency </w:delText>
        </w:r>
      </w:del>
      <w:ins w:id="10" w:author="Huawei" w:date="2024-08-01T11:02:00Z">
        <w:r>
          <w:t xml:space="preserve">saving </w:t>
        </w:r>
      </w:ins>
      <w:r>
        <w:t xml:space="preserve">state in order to maximize the throughput of the users while minimizing the energy consumption. Note that the sequence in which the beams are made to enter and exit the energy </w:t>
      </w:r>
      <w:del w:id="11" w:author="Huawei" w:date="2024-08-01T11:02:00Z">
        <w:r w:rsidDel="00EF1B15">
          <w:delText xml:space="preserve">efficiency </w:delText>
        </w:r>
      </w:del>
      <w:ins w:id="12" w:author="Huawei" w:date="2024-08-01T11:02:00Z">
        <w:r>
          <w:t xml:space="preserve">saving </w:t>
        </w:r>
      </w:ins>
      <w:r>
        <w:t xml:space="preserve">states </w:t>
      </w:r>
      <w:del w:id="13" w:author="Huawei" w:date="2024-08-01T11:03:00Z">
        <w:r w:rsidDel="00EF1B15">
          <w:delText xml:space="preserve">on </w:delText>
        </w:r>
      </w:del>
      <w:r>
        <w:t xml:space="preserve">are necessarily not in the same sequence. The sequence of the beams entering and exiting the energy saving state do matter in real time scenarios. For instance, there are 4 beams in a cell serving the same geo area at different directions. To maximize the energy efficiency, if it has been decided to switch two beams off for energy saving purposes, in general the sequence of the beams put into energy </w:t>
      </w:r>
      <w:del w:id="14" w:author="Huawei" w:date="2024-08-01T11:03:00Z">
        <w:r w:rsidDel="00EF1B15">
          <w:delText xml:space="preserve">efficiency </w:delText>
        </w:r>
      </w:del>
      <w:ins w:id="15" w:author="Huawei" w:date="2024-08-01T11:03:00Z">
        <w:r>
          <w:t xml:space="preserve">saving </w:t>
        </w:r>
      </w:ins>
      <w:r>
        <w:t xml:space="preserve">state can be random or all the identified beams can be made to enter the energy </w:t>
      </w:r>
      <w:del w:id="16" w:author="Huawei" w:date="2024-08-01T11:03:00Z">
        <w:r w:rsidDel="00EF1B15">
          <w:delText xml:space="preserve">efficiency </w:delText>
        </w:r>
      </w:del>
      <w:ins w:id="17" w:author="Huawei" w:date="2024-08-01T11:03:00Z">
        <w:r>
          <w:t xml:space="preserve">saving </w:t>
        </w:r>
      </w:ins>
      <w:r>
        <w:t xml:space="preserve">state together. In both these cases, the sharing of load among the other beams and the handover performances between the beams would not be optimal. If all the identified </w:t>
      </w:r>
      <w:del w:id="18" w:author="Huawei" w:date="2024-08-01T11:03:00Z">
        <w:r w:rsidDel="00EF1B15">
          <w:delText xml:space="preserve">identified </w:delText>
        </w:r>
      </w:del>
      <w:r>
        <w:t xml:space="preserve">beams are entering the energy </w:t>
      </w:r>
      <w:del w:id="19" w:author="Huawei" w:date="2024-08-01T11:03:00Z">
        <w:r w:rsidDel="00EF1B15">
          <w:delText xml:space="preserve">efficiency </w:delText>
        </w:r>
      </w:del>
      <w:ins w:id="20" w:author="Huawei" w:date="2024-08-01T11:03:00Z">
        <w:r>
          <w:t xml:space="preserve">saving </w:t>
        </w:r>
      </w:ins>
      <w:r>
        <w:t xml:space="preserve">state at the same time, the remaining beams would have to share the load of the beams entering energy </w:t>
      </w:r>
      <w:del w:id="21" w:author="Huawei" w:date="2024-08-01T11:03:00Z">
        <w:r w:rsidDel="00EF1B15">
          <w:delText xml:space="preserve">efficiency </w:delText>
        </w:r>
      </w:del>
      <w:ins w:id="22" w:author="Huawei" w:date="2024-08-01T11:03:00Z">
        <w:r>
          <w:t xml:space="preserve">saving </w:t>
        </w:r>
      </w:ins>
      <w:r>
        <w:t xml:space="preserve">state at the same time. This would cause call drops and throughput impacts. Alternatively, if a random sequence is followed, the impact and the performance of the beams sharing the load of the beams entering the energy </w:t>
      </w:r>
      <w:del w:id="23" w:author="Huawei" w:date="2024-08-01T11:04:00Z">
        <w:r w:rsidDel="00EF1B15">
          <w:delText xml:space="preserve">efficiency </w:delText>
        </w:r>
      </w:del>
      <w:ins w:id="24" w:author="Huawei" w:date="2024-08-01T11:04:00Z">
        <w:r>
          <w:t xml:space="preserve">saving </w:t>
        </w:r>
      </w:ins>
      <w:r>
        <w:t xml:space="preserve">state would be random as well. To avoid this scenario, it is recommended to follow a sequence in which the beams are entering and exiting the energy </w:t>
      </w:r>
      <w:del w:id="25" w:author="Huawei" w:date="2024-08-01T11:04:00Z">
        <w:r w:rsidDel="00EF1B15">
          <w:delText xml:space="preserve">efficiency </w:delText>
        </w:r>
      </w:del>
      <w:ins w:id="26" w:author="Huawei" w:date="2024-08-01T11:04:00Z">
        <w:r>
          <w:t xml:space="preserve">saving </w:t>
        </w:r>
      </w:ins>
      <w:r>
        <w:t>state.</w:t>
      </w:r>
    </w:p>
    <w:p w14:paraId="7FD37DE6" w14:textId="77777777" w:rsidR="00EF1B15" w:rsidRDefault="00EF1B15" w:rsidP="00EF1B15">
      <w:pPr>
        <w:jc w:val="both"/>
      </w:pPr>
      <w:r>
        <w:lastRenderedPageBreak/>
        <w:t>Editor’s note 2: The realization of the beam aspects of this use case depends on the definition of beam specific energy saving mechanism.</w:t>
      </w:r>
    </w:p>
    <w:p w14:paraId="6F91ECBE" w14:textId="77777777" w:rsidR="00EF1B15" w:rsidRDefault="00EF1B15" w:rsidP="00EF1B15">
      <w:pPr>
        <w:jc w:val="both"/>
      </w:pPr>
      <w:r>
        <w:t>Editor’s note 3:</w:t>
      </w:r>
    </w:p>
    <w:p w14:paraId="4C342F88" w14:textId="77777777" w:rsidR="00EF1B15" w:rsidRDefault="00EF1B15" w:rsidP="00EF1B15">
      <w:pPr>
        <w:jc w:val="both"/>
      </w:pPr>
      <w:r>
        <w:t xml:space="preserve">In RAN3 LS R3-240998, as a response to Q3, RAN3 has explained the need for configuring a unified mapping rule among </w:t>
      </w:r>
      <w:proofErr w:type="spellStart"/>
      <w:r>
        <w:t>gNBs</w:t>
      </w:r>
      <w:proofErr w:type="spellEnd"/>
      <w:r>
        <w:t xml:space="preserve">. These set of </w:t>
      </w:r>
      <w:proofErr w:type="spellStart"/>
      <w:r>
        <w:t>gNBs</w:t>
      </w:r>
      <w:proofErr w:type="spellEnd"/>
      <w:r>
        <w:t xml:space="preserve"> to which unified mapping rule to be applied form a group of cells that need to be managed together for energy efficiency purposes. The figure from the LS is attached below for reference.</w:t>
      </w:r>
    </w:p>
    <w:p w14:paraId="09104DA6" w14:textId="77777777" w:rsidR="00EF1B15" w:rsidRDefault="00EF1B15" w:rsidP="00EF1B15">
      <w:pPr>
        <w:keepNext/>
        <w:jc w:val="center"/>
      </w:pPr>
      <w:r>
        <w:rPr>
          <w:rFonts w:eastAsia="Times New Roman"/>
        </w:rPr>
        <w:object w:dxaOrig="9090" w:dyaOrig="6080" w14:anchorId="0D753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04.6pt" o:ole="">
            <v:imagedata r:id="rId7" o:title=""/>
          </v:shape>
          <o:OLEObject Type="Embed" ProgID="Visio.Drawing.15" ShapeID="_x0000_i1025" DrawAspect="Content" ObjectID="_1784704910" r:id="rId8"/>
        </w:object>
      </w:r>
    </w:p>
    <w:p w14:paraId="517F9998" w14:textId="77777777" w:rsidR="00EF1B15" w:rsidRDefault="00EF1B15" w:rsidP="00EF1B15">
      <w:pPr>
        <w:jc w:val="center"/>
      </w:pPr>
      <w:bookmarkStart w:id="27" w:name="_Ref159163563"/>
      <w:r>
        <w:rPr>
          <w:b/>
          <w:bCs/>
        </w:rPr>
        <w:t>Figure 5.1.2.1-</w:t>
      </w:r>
      <w:r>
        <w:fldChar w:fldCharType="begin"/>
      </w:r>
      <w:r>
        <w:rPr>
          <w:b/>
          <w:bCs/>
        </w:rPr>
        <w:instrText xml:space="preserve"> SEQ Figure \* ARABIC </w:instrText>
      </w:r>
      <w:r>
        <w:fldChar w:fldCharType="separate"/>
      </w:r>
      <w:r>
        <w:rPr>
          <w:b/>
          <w:bCs/>
        </w:rPr>
        <w:t>1</w:t>
      </w:r>
      <w:r>
        <w:fldChar w:fldCharType="end"/>
      </w:r>
      <w:bookmarkEnd w:id="27"/>
      <w:r>
        <w:rPr>
          <w:b/>
          <w:bCs/>
        </w:rPr>
        <w:t xml:space="preserve"> Example of Energy Cost exchange between </w:t>
      </w:r>
      <w:proofErr w:type="spellStart"/>
      <w:r>
        <w:rPr>
          <w:b/>
          <w:bCs/>
        </w:rPr>
        <w:t>gNBs</w:t>
      </w:r>
      <w:proofErr w:type="spellEnd"/>
      <w:r>
        <w:rPr>
          <w:b/>
          <w:bCs/>
        </w:rPr>
        <w:t>.</w:t>
      </w:r>
    </w:p>
    <w:p w14:paraId="27343037" w14:textId="77777777" w:rsidR="00EF1B15" w:rsidRDefault="00EF1B15" w:rsidP="00EF1B15">
      <w:pPr>
        <w:jc w:val="both"/>
      </w:pPr>
      <w:r>
        <w:t xml:space="preserve">The enabling data of this use case may include Mobility Management related measurements (clause 5.1.1.6 from TS 28.552 [5]) including intra and inter </w:t>
      </w:r>
      <w:proofErr w:type="spellStart"/>
      <w:r>
        <w:t>gNB</w:t>
      </w:r>
      <w:proofErr w:type="spellEnd"/>
      <w:r>
        <w:t xml:space="preserve"> handovers. These also include handover measurements per beam (in clauses 5.1.1.6.1.12 and 5.1.1.6.1.13 from TS 28.552 [5]) and intra-NR cell SSB beam switch measurements (in clause 5.1.1.21 from TS 28.552 [5]).</w:t>
      </w:r>
    </w:p>
    <w:p w14:paraId="0486CBF9" w14:textId="77777777" w:rsidR="00782D10" w:rsidRDefault="00782D10"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28" w:name="_Toc462827461"/>
            <w:bookmarkStart w:id="29" w:name="_Toc458429818"/>
            <w:r w:rsidRPr="00442B28">
              <w:rPr>
                <w:rFonts w:ascii="Arial" w:hAnsi="Arial" w:cs="Arial"/>
                <w:b/>
                <w:bCs/>
                <w:sz w:val="28"/>
                <w:szCs w:val="28"/>
                <w:lang w:val="en-US"/>
              </w:rPr>
              <w:t>End of changes</w:t>
            </w:r>
          </w:p>
        </w:tc>
      </w:tr>
      <w:bookmarkEnd w:id="28"/>
      <w:bookmarkEnd w:id="29"/>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15074" w14:textId="77777777" w:rsidR="00E670B4" w:rsidRDefault="00E670B4">
      <w:r>
        <w:separator/>
      </w:r>
    </w:p>
  </w:endnote>
  <w:endnote w:type="continuationSeparator" w:id="0">
    <w:p w14:paraId="693C3045" w14:textId="77777777" w:rsidR="00E670B4" w:rsidRDefault="00E6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478E5" w14:textId="77777777" w:rsidR="00E670B4" w:rsidRDefault="00E670B4">
      <w:r>
        <w:separator/>
      </w:r>
    </w:p>
  </w:footnote>
  <w:footnote w:type="continuationSeparator" w:id="0">
    <w:p w14:paraId="75402132" w14:textId="77777777" w:rsidR="00E670B4" w:rsidRDefault="00E67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5039"/>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923"/>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5A51"/>
    <w:rsid w:val="00247216"/>
    <w:rsid w:val="002608BF"/>
    <w:rsid w:val="00266700"/>
    <w:rsid w:val="00274477"/>
    <w:rsid w:val="002A1857"/>
    <w:rsid w:val="002C7F38"/>
    <w:rsid w:val="0030628A"/>
    <w:rsid w:val="00311406"/>
    <w:rsid w:val="0035122B"/>
    <w:rsid w:val="00353451"/>
    <w:rsid w:val="003612BE"/>
    <w:rsid w:val="00365672"/>
    <w:rsid w:val="00371032"/>
    <w:rsid w:val="00371B44"/>
    <w:rsid w:val="00374034"/>
    <w:rsid w:val="003A4BFA"/>
    <w:rsid w:val="003C122B"/>
    <w:rsid w:val="003C5A97"/>
    <w:rsid w:val="003C7A04"/>
    <w:rsid w:val="003D546B"/>
    <w:rsid w:val="003F52B2"/>
    <w:rsid w:val="0040645D"/>
    <w:rsid w:val="00422B49"/>
    <w:rsid w:val="00440414"/>
    <w:rsid w:val="0045561E"/>
    <w:rsid w:val="004558E9"/>
    <w:rsid w:val="0045777E"/>
    <w:rsid w:val="0047484E"/>
    <w:rsid w:val="004B3753"/>
    <w:rsid w:val="004C31D2"/>
    <w:rsid w:val="004D55C2"/>
    <w:rsid w:val="004F5A0A"/>
    <w:rsid w:val="0050647B"/>
    <w:rsid w:val="00507CEF"/>
    <w:rsid w:val="00521131"/>
    <w:rsid w:val="00527C0B"/>
    <w:rsid w:val="005378BE"/>
    <w:rsid w:val="005410F6"/>
    <w:rsid w:val="0055412D"/>
    <w:rsid w:val="005729C4"/>
    <w:rsid w:val="0057455E"/>
    <w:rsid w:val="00577BC6"/>
    <w:rsid w:val="0059227B"/>
    <w:rsid w:val="005B0966"/>
    <w:rsid w:val="005B795D"/>
    <w:rsid w:val="005D7217"/>
    <w:rsid w:val="00610508"/>
    <w:rsid w:val="00613820"/>
    <w:rsid w:val="00645C90"/>
    <w:rsid w:val="00652248"/>
    <w:rsid w:val="00657B80"/>
    <w:rsid w:val="00675B3C"/>
    <w:rsid w:val="00693EE0"/>
    <w:rsid w:val="0069495C"/>
    <w:rsid w:val="006D340A"/>
    <w:rsid w:val="00715A1D"/>
    <w:rsid w:val="00760BB0"/>
    <w:rsid w:val="0076157A"/>
    <w:rsid w:val="00782D10"/>
    <w:rsid w:val="00784593"/>
    <w:rsid w:val="007A00EF"/>
    <w:rsid w:val="007A4AB2"/>
    <w:rsid w:val="007B19EA"/>
    <w:rsid w:val="007C0A2D"/>
    <w:rsid w:val="007C27B0"/>
    <w:rsid w:val="007F300B"/>
    <w:rsid w:val="008014C3"/>
    <w:rsid w:val="00812587"/>
    <w:rsid w:val="00846D35"/>
    <w:rsid w:val="00850812"/>
    <w:rsid w:val="00876B9A"/>
    <w:rsid w:val="00886CBD"/>
    <w:rsid w:val="008933BF"/>
    <w:rsid w:val="008A10C4"/>
    <w:rsid w:val="008B0248"/>
    <w:rsid w:val="008D191D"/>
    <w:rsid w:val="008F5F33"/>
    <w:rsid w:val="0091046A"/>
    <w:rsid w:val="00926ABD"/>
    <w:rsid w:val="00947F4E"/>
    <w:rsid w:val="009616C1"/>
    <w:rsid w:val="00966D47"/>
    <w:rsid w:val="00992312"/>
    <w:rsid w:val="009C0DED"/>
    <w:rsid w:val="00A004B4"/>
    <w:rsid w:val="00A20ED6"/>
    <w:rsid w:val="00A32D89"/>
    <w:rsid w:val="00A34621"/>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B4342"/>
    <w:rsid w:val="00BC25AA"/>
    <w:rsid w:val="00BF5635"/>
    <w:rsid w:val="00BF682E"/>
    <w:rsid w:val="00C022E3"/>
    <w:rsid w:val="00C03FE1"/>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0CC5"/>
    <w:rsid w:val="00DA1E58"/>
    <w:rsid w:val="00DB75B8"/>
    <w:rsid w:val="00DC1055"/>
    <w:rsid w:val="00DE4EF2"/>
    <w:rsid w:val="00DF0F93"/>
    <w:rsid w:val="00DF20FA"/>
    <w:rsid w:val="00DF2C0E"/>
    <w:rsid w:val="00E04DB6"/>
    <w:rsid w:val="00E06FFB"/>
    <w:rsid w:val="00E30155"/>
    <w:rsid w:val="00E670B4"/>
    <w:rsid w:val="00E91FE1"/>
    <w:rsid w:val="00EA5E95"/>
    <w:rsid w:val="00ED1E0F"/>
    <w:rsid w:val="00ED4954"/>
    <w:rsid w:val="00ED4D9C"/>
    <w:rsid w:val="00ED5A43"/>
    <w:rsid w:val="00EE0943"/>
    <w:rsid w:val="00EE33A2"/>
    <w:rsid w:val="00EF1B15"/>
    <w:rsid w:val="00F55E6B"/>
    <w:rsid w:val="00F67A1C"/>
    <w:rsid w:val="00F82C5B"/>
    <w:rsid w:val="00F85325"/>
    <w:rsid w:val="00F8555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63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Heading1Char">
    <w:name w:val="Heading 1 Char"/>
    <w:basedOn w:val="DefaultParagraphFont"/>
    <w:link w:val="Heading1"/>
    <w:rsid w:val="0057455E"/>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7455E"/>
    <w:rPr>
      <w:rFonts w:ascii="Arial" w:hAnsi="Arial"/>
      <w:sz w:val="32"/>
      <w:lang w:eastAsia="en-US"/>
    </w:rPr>
  </w:style>
  <w:style w:type="character" w:customStyle="1" w:styleId="Heading5Char">
    <w:name w:val="Heading 5 Char"/>
    <w:basedOn w:val="DefaultParagraphFont"/>
    <w:link w:val="Heading5"/>
    <w:rsid w:val="0031140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8567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3978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2024-08-09T09:30:00Z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